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附件1：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年秋季同安区幼儿园</w:t>
      </w: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施教片区划分</w:t>
      </w:r>
    </w:p>
    <w:tbl>
      <w:tblPr>
        <w:tblStyle w:val="2"/>
        <w:tblpPr w:leftFromText="180" w:rightFromText="180" w:vertAnchor="text" w:horzAnchor="page" w:tblpX="1432" w:tblpY="496"/>
        <w:tblOverlap w:val="never"/>
        <w:tblW w:w="9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7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幼儿园</w:t>
            </w:r>
          </w:p>
        </w:tc>
        <w:tc>
          <w:tcPr>
            <w:tcW w:w="7307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施教区描述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后炉园区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+东桥园区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后炉街以东、三秀路以北、环城北路以南、环城东路以西。（北镇一里、北镇二里、北镇巷，包括后炉新村、北星花园、政府宿舍、公安宿舍、崇明楼、为安楼、小坪水库宿舍楼、东溪花园、同顺公寓、祥福阁、银星花园、食品厂宿舍、中铁花园、新银楼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2.同新北路以东、双溪路以北、三秀路以南、东溪溪以西。（三秀南里、南门里、后城路、东溪里、东溪街，包括银城佳园ABC、华泰广场、南门新村、东溪新村）；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3.后炉街以西的人武宿舍、为民楼、人大宿舍；环城北路以北的林业局宿舍、畜牧宿舍住宅楼、畜牧综合楼、五福楼、东溪1号楼、为和楼、第二蚊香厂宿舍、自来水宿舍、华盛楼、公路站十一万伏。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实验幼儿园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芸溪园区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芸溪居住公园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小区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及涉及芸溪居住公园建设被征地的芸溪社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原住民适龄幼儿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兴国幼儿园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城西园区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.城西一里、城西二里片区（城西社区居委会）：环城北路2号（骨之味）至46号（湘满天）路段以东、西安路1号（光华大药店）至43号（永乐思文）路段以西、城西路2号（招商银行）至180号（永乐思文）路段以南、新安路1号（原兴业银行）至75号（光华大药店）路段以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.舒安里片区（西安社区居委会）：环城北路50号（名典瑞华店）至142号（中国邮政储蓄银行）路段以东、城西路145号（皇冠饭店）至市场路98号（城西市场1号店面）路段以西、市场路2号（中国邮政储蓄银行）至市场路98号（城西市场1号店面）路段以南、城西路1号（名典瑞华店）至145号（皇冠饭店）以北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双溪里（同新社区居委会）：A、西安路：西安路26号（中桥通讯）至南门路2号（创e意）路段以东、同新路2号（钟楼步行街起点）至56号（中国邮政储蓄银行）路段以西、南门路2号（创e意）至82号（钟楼步行街起点）路段以南；B、双溪路：双溪路1号（中桥通讯）至同新路56号（中国邮政储蓄银行）路段以北；双溪路1号（中桥通讯）至同新路56号（中国邮政储蓄银行）路段以南、西溪溪以北、双溪公园以西的沿溪居民（原电影院西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兴国幼儿园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大溪地园区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大溪地小区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兴国幼儿园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古庄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分园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1.古庄社区（古庄村） ；2.古庄新城（古庄二里282－328）；3.洋坂里的菲矿小区（洋坂里202－212）、电力宿舍楼（洋坂里222、224－229））、朝元综合楼（洋坂里200－201）；4.古庄里的交通局宿舍楼（古庄里2－5号）、教育局宿舍楼（古庄里6－8号）、人事局宿舍楼（古庄里13－15号）、农业局宿舍（古庄里9－11号），5.非矿(洋坂里202-221)；保险(洋坂里230-231)；交警（洋坂里236-237）；电力（洋坂里222-229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洗墨池幼儿园</w:t>
            </w:r>
          </w:p>
        </w:tc>
        <w:tc>
          <w:tcPr>
            <w:tcW w:w="7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1.中山路以东、后炉街以西、环城北路以南、三秀路以北（后炉里、后炉宫、十字巷、太守巷、果籽园包括印发花园、后炉花园、磐金文化城、银城商厦）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2.中山路以东、同新北路以西、三秀路以南、南门路以北（三秀北里包括三秀新城、银城佳园D E楼）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3.市场路（接环城北路）以东、中山路以西、环城北路以南、市场路以北（居安里、中山路包括西安苑、银安大厦、同安一建综合楼、吉安楼、祥安楼、瑞安楼、逸安楼、居安楼、聚宁楼、水产宿舍楼）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4.市场路以东、中山路以西、市场路以南、城西路以北（居安里包括埕西新村、锦华金都、鸿利楼、鸿吉2号楼）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5.溪边社区居委会原住民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1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洗墨池幼儿园洪塘头分园</w:t>
            </w:r>
          </w:p>
        </w:tc>
        <w:tc>
          <w:tcPr>
            <w:tcW w:w="73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1.美林街道洪塘头村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2.同安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禹州大学城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彩虹湾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教师进修学校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附属幼儿园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1.东山社区:社坛、双圳头、后亭、下间、大学、埔地、汀溪水库宿舍楼、长城花园、和祥楼、汽车队宿舍、东山综合楼、北门里；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2.西池社区:西池一里、西池二里(阳光清境小区、尚美花城小区、西池小区、育安楼、祥业、祥乐、祥安、祥居、利祥、政协AB、汀溪供销、卫生AB、交通宿舍楼、西城晶华)；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3.北门社区：城北新村、北门自建房（东山北门里）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朝阳幼儿园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政府保障性住房（同安区城北小区）、环城北路以北的朝元社区居委会（洋坂里、田中央里、西池里、田厝里、白礁里、张厝里、下埕里）、涉及小区建设征地的田洋村前宅里1-4组、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双苋里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、盐管附属楼232、盐管AB楼233-235号、林业宿舍楼238-239号、公安ABC宿舍楼240-247号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阳翟幼儿园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+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毓秀分园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1.阳翟社区圳岸里、二房三里、下店尾里、土楼里、东亭里、西亭里、昭晖里、双溪口里、泥山里；2.教师集资楼、铁道部十七局宿舍楼、西柯镇政府集资楼（均落户阳翟社区）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3.卿朴村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西溪幼儿园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1.从银湖大桥至祥平东路以南、祥平西路连至环城西路以南、银湖中路以北（含祥桥社区霞路里、祥路里）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2.富贵家园、华清中心城、大唐一期、大唐二期、同安区水利局、荣发新村居住小区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第三实验幼儿园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厦航祥郡、厦航高郡、祥桥社区古溪里、涉及小区建设被征地的岗头里6-11组原住民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同城四季幼儿园</w:t>
            </w:r>
          </w:p>
        </w:tc>
        <w:tc>
          <w:tcPr>
            <w:tcW w:w="73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同城四季小区、涉及小区建设被征地的古山里原住民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同城四季幼儿园（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四口圳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分园）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美林街道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四口圳村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大同中心幼儿园（下溪头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分园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大同街道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下溪头村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大同中心幼儿园（康浔分园）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大同街道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康浔村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</w:rPr>
              <w:t>东宅村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大同中心幼儿园（城东）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安置楼（凤山二里88-91号）、宝鹭楼（凤山二里92-96号）、恒发楼（凤山二里97-101号）、外贸楼（凤山二里102-106号）、竹坝楼（凤山二里112-116号）、厦信楼（凤山二里127-128号）、银星楼（凤山二里134-137号）、邮电楼（凤山二里138-141号）、兴福楼（岳东里100-103号）、幸福U品（岳东里104-110号）、九号公馆（岳东里131-157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祥平中心幼儿园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上院小区、涉及小区建设被征地的祥桥社区祥路顶里、三香里、程厝里原住民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祥平中心幼儿园祥桥分园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1.祥桥社区外较场里、莲湖里、后厝里、后沟里、芸溪里；2.祥桥一里（佳展楼、同安人家小区、银环佳园）；3.祥桥二里（凤祥别墅小区）、大唐世家三期、新都花园；4.海西舜弘公馆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洪塘镇龙泉村、洪塘村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洪塘中心幼儿园（滨洲分园）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特房银溪墅府小区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五显镇下峰村（下峰里、上峰里、下欧坑里、新泉里、新丰里、美珠堂里、寨阳里）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西柯中心幼儿园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西柯村、下山头村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美林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幼儿园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（潘涂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总园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美林街道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潘涂社区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美林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幼儿园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金都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分园）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金都海上国际小区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美林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幼儿园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保利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保利叁仟栋小区、保利壹海里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新民中心幼儿园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乌涂社区（溪仔尾、城仔内、田里、店仔街、东宅、坝仔埔、下埔）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汀溪中心幼儿园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路下村、前格村、半岭村、堤内村、顶村村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</w:rPr>
              <w:t>、山语汀溪小区、汀溪街、西坑村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莲花中心幼儿园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莲花镇美埔村（美埔、张厝、西洋、庵边头、溪州、大溪口、庙山、蔡林、林后、下尾、寨仔边、田洋、莲美新村）、溪东村（溪东地、溪东、洞公、茂口）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88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新美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中心幼儿园</w:t>
            </w:r>
          </w:p>
        </w:tc>
        <w:tc>
          <w:tcPr>
            <w:tcW w:w="7307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凤南农场土楼村（土楼、砖仔、坝仔内、院前、四角河、桥上）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竹坝幼儿园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同安区竹坝经济开发区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明溪村、三秀山村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梧侣幼儿园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新民镇梧侣社区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天骄幼儿园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新景城市天骄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丙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州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丙洲村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滨新幼儿园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滨海新城中部滨海公寓小区（东头埔溪路1号楼-38号楼）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滨新幼儿园（浔美分园）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中海万锦熙岸小区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凤岭幼儿园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凤岭小区公寓保障性安居工程小区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涉及小区建设被征地的岗头里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-1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组原住民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凤岭幼儿园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中海世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分园）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中海世茂府、招商雍和府、水晶芸溪祥府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厦门科学城实验幼儿园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通福路以南、滨海西大道以东、西溪以西、西洲路以北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梵艺幼儿园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梵艺第二幼儿园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祥平保障房地铁社区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祥和幼儿园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  <w:t>祥平保障房地铁社区二期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西洪塘幼儿园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西洪塘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官浔幼儿园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官浔社区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滨城幼儿园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后吴公寓楼盘小区、融信铂悦湾楼盘小区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科创幼儿园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西柯街道后田家园楼盘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银湖幼儿园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环城南路以北、银湖路以西、银莲路以南、同集路以东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西塘幼儿园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西塘社区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溪望幼儿园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万科·溪望楼盘小区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兴贤幼儿园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中铁诺德逸都楼盘小区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天汇幼儿园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保利天汇楼盘小区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田洋幼儿园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田洋村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五甲幼儿园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碧岳五甲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、轮山路2号部队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顶溪头幼儿园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顶溪头村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东宅幼儿园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东宅村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碧岳幼儿园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碧岳岳口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、铺前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杜桥幼儿园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杜桥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杜桥里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过溪幼儿园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过溪村营边中里、乌山尾里、鳌峰埔里、三六落里、营边尾里、营边顶里、宫边里、幕庵里、下魏里、上寮里、下寮里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瑶头幼儿园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瑶头村田墘里、新井里、宫顶里、山田里、西瑶里、后巷里、官田里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、巷仔内里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西湖幼儿园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西湖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西湖新村、山坪里、珠厝里、西湖塘里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溪声幼儿园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溪声村金岗山里、坑仔口里、竹仔林里、赤土楼里、下庄里、后溪里、浒井里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郭山幼儿园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洪塘镇郭山村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苏店幼儿园</w:t>
            </w:r>
          </w:p>
        </w:tc>
        <w:tc>
          <w:tcPr>
            <w:tcW w:w="7307" w:type="dxa"/>
            <w:vAlign w:val="top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洪塘镇苏店村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三忠幼儿园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洪塘镇三忠村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埔后幼儿园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洪塘镇埔后村、塘边村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下墩幼儿园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洪塘镇下墩村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大乡幼儿园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洪塘镇大乡村、龙东村、龙西村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浔江幼儿园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洪塘镇浔江村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苏厝幼儿园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洪塘镇苏厝村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新学幼儿园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洪塘镇新学村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新厝幼儿园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洪塘镇新厝村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布塘幼儿园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五显镇布塘村、陈钦辽、美安、棋盘厝、竹仔林、彭美、大溪、缉仔亭、赵厝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店仔幼儿园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五显镇过山埔、上埔、田坂下、店仔、杜厝李、溪墘里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竹山幼儿园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五显镇竹山村、溪西村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后垄幼儿园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五显镇后垄村、小后垄里、新山里、山头后里、石厝里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军村幼儿园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五显镇军村里、下寮里、新下寮里、东行里、撬内里、乌石里、下埔里、后埔里、田厝里、过溪里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垵炉幼儿园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spacing w:val="-1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五显镇五显村、垵炉村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宋宅幼儿园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5"/>
                <w:kern w:val="0"/>
                <w:sz w:val="24"/>
                <w:szCs w:val="24"/>
              </w:rPr>
              <w:t>五显镇塘边里、宋宅里、宋南里、潘厝里、马塘里、上厝里、大泉里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后塘幼儿园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五显镇后塘里、后垻里、坂垄尾、寨子山、过溪村、白石子村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振群幼儿园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</w:rPr>
              <w:t>五显镇明溪村、三秀山村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四林幼儿园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五显镇梨子林里、邱厝里、新宅里、水果内里、西坑尾、庄上里、秀人尾里、洪厝里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西洋幼儿园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五显镇岭下、东市、新厝、刘厝、竹仔林、新店仔、坪山、新安里、下许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8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eastAsia="zh-CN"/>
              </w:rPr>
              <w:t>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头幼儿园</w:t>
            </w:r>
          </w:p>
        </w:tc>
        <w:tc>
          <w:tcPr>
            <w:tcW w:w="7307" w:type="dxa"/>
            <w:vAlign w:val="top"/>
          </w:tcPr>
          <w:p>
            <w:pPr>
              <w:spacing w:line="46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街道浦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埭头幼儿园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埭头村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吕厝幼儿园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西柯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吕厝村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后田幼儿园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美林街道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后田村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美星幼儿园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美林街道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美星村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溪林幼儿园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祥平街道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溪林村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湖柑幼儿园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湖柑村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柑岭幼儿园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柑岭村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新辉幼儿园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  <w:lang w:val="en-US" w:eastAsia="zh-CN"/>
              </w:rPr>
              <w:t>美林街道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4"/>
                <w:szCs w:val="24"/>
              </w:rPr>
              <w:t>湖安村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新星幼儿园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美街道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后宅村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禾山幼儿园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美街道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禾山村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艺力幼儿园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洋厝埔村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蔡宅幼儿园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新民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蔡宅村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褒美幼儿园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汀溪镇褒美村、古坑村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古坑幼儿园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汀溪镇古坑村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西源幼儿园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4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汀溪镇西源村、荏畲村、顶村村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1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五峰幼儿园</w:t>
            </w:r>
          </w:p>
        </w:tc>
        <w:tc>
          <w:tcPr>
            <w:tcW w:w="7307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汀溪镇五峰村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隘头幼儿园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汀溪镇隘头村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造水幼儿园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汀溪镇造水村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希小幼儿园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38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汀溪镇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lang w:val="en-US" w:eastAsia="zh-CN"/>
              </w:rPr>
              <w:t>西坑、西坑共和、褒美路岭、褒美尖仔山、大唐水云间、巴厘香泉、泉天下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河田幼儿园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莲花镇蔗内村、内田村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莲花镇莲花村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后埔幼儿园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莲花镇后埔村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上陵幼儿园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莲花镇上陵村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罗溪幼儿园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莲花镇罗溪村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军营幼儿园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莲花镇军营村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白交祠幼儿园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莲花镇白交祠村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栋佐幼儿园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莲花镇窑市村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云洋幼儿园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莲花镇云洋村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云埔幼儿园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莲花镇云埔村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小坪幼儿园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莲花镇小坪村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水洋幼儿园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莲花镇水洋村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澳溪幼儿园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莲花镇澳溪村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白沙仑幼儿园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莲花镇白沙仑农场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新塘幼儿园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凤南农场新塘村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后坂幼儿园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凤南农场后坂村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18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南山幼儿园</w:t>
            </w:r>
          </w:p>
        </w:tc>
        <w:tc>
          <w:tcPr>
            <w:tcW w:w="7307" w:type="dxa"/>
            <w:vAlign w:val="center"/>
          </w:tcPr>
          <w:p>
            <w:pPr>
              <w:widowControl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凤南农场南山村</w:t>
            </w:r>
          </w:p>
        </w:tc>
      </w:tr>
    </w:tbl>
    <w:p>
      <w:pPr>
        <w:widowControl/>
        <w:spacing w:line="520" w:lineRule="exact"/>
        <w:jc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</w:rPr>
        <w:t>备注：1.按就近入园原则，城区幼儿园以道路、溪、河为界划片招生；</w:t>
      </w:r>
    </w:p>
    <w:p>
      <w:pPr>
        <w:widowControl/>
        <w:spacing w:line="520" w:lineRule="exact"/>
        <w:jc w:val="center"/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4"/>
          <w:szCs w:val="24"/>
        </w:rPr>
        <w:t xml:space="preserve">      2.各园施教片区原则上含所在村居范围内（城区除外）的楼盘。</w:t>
      </w:r>
    </w:p>
    <w:p>
      <w:pPr>
        <w:snapToGrid w:val="0"/>
        <w:spacing w:line="600" w:lineRule="exact"/>
        <w:rPr>
          <w:rFonts w:hint="eastAsia" w:ascii="黑体" w:hAnsi="黑体" w:eastAsia="黑体" w:cs="仿宋"/>
          <w:b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U0YjdkMzk1NDMyZTA4OWY4OWJjMDA4NzQ4OTk5YjQifQ=="/>
  </w:docVars>
  <w:rsids>
    <w:rsidRoot w:val="00000000"/>
    <w:rsid w:val="056B77C2"/>
    <w:rsid w:val="07401038"/>
    <w:rsid w:val="07447AF0"/>
    <w:rsid w:val="098D41AA"/>
    <w:rsid w:val="09B4113B"/>
    <w:rsid w:val="09E77C46"/>
    <w:rsid w:val="09F42F33"/>
    <w:rsid w:val="0D35398B"/>
    <w:rsid w:val="0DFC545B"/>
    <w:rsid w:val="0FAD01D7"/>
    <w:rsid w:val="107776F2"/>
    <w:rsid w:val="12C71FA3"/>
    <w:rsid w:val="17E752EC"/>
    <w:rsid w:val="18FC5680"/>
    <w:rsid w:val="1A911621"/>
    <w:rsid w:val="1AF510A0"/>
    <w:rsid w:val="1C4E70E4"/>
    <w:rsid w:val="1E217A3F"/>
    <w:rsid w:val="1F154864"/>
    <w:rsid w:val="21B856E5"/>
    <w:rsid w:val="256B741C"/>
    <w:rsid w:val="26173DF6"/>
    <w:rsid w:val="262D28A0"/>
    <w:rsid w:val="26FD2518"/>
    <w:rsid w:val="27CF5668"/>
    <w:rsid w:val="2BB07707"/>
    <w:rsid w:val="30282A3F"/>
    <w:rsid w:val="30915A7F"/>
    <w:rsid w:val="3252473E"/>
    <w:rsid w:val="336727AA"/>
    <w:rsid w:val="357F713C"/>
    <w:rsid w:val="359F0E86"/>
    <w:rsid w:val="370C7F01"/>
    <w:rsid w:val="37CB5D1A"/>
    <w:rsid w:val="3C662B19"/>
    <w:rsid w:val="3D6745C7"/>
    <w:rsid w:val="3F6F51DD"/>
    <w:rsid w:val="3F740A45"/>
    <w:rsid w:val="41A73354"/>
    <w:rsid w:val="41DB1142"/>
    <w:rsid w:val="420E08E0"/>
    <w:rsid w:val="422A3954"/>
    <w:rsid w:val="43FD3CFE"/>
    <w:rsid w:val="45343151"/>
    <w:rsid w:val="47517EA3"/>
    <w:rsid w:val="48F50E49"/>
    <w:rsid w:val="4DD562F5"/>
    <w:rsid w:val="4E7E7D38"/>
    <w:rsid w:val="4FBC621D"/>
    <w:rsid w:val="582C39E8"/>
    <w:rsid w:val="58356B09"/>
    <w:rsid w:val="5C9C5475"/>
    <w:rsid w:val="5D83260B"/>
    <w:rsid w:val="5D995F07"/>
    <w:rsid w:val="5F3068ED"/>
    <w:rsid w:val="605A2ECB"/>
    <w:rsid w:val="64897591"/>
    <w:rsid w:val="66B37C6C"/>
    <w:rsid w:val="66DA6FEC"/>
    <w:rsid w:val="68880F3A"/>
    <w:rsid w:val="695F6A02"/>
    <w:rsid w:val="6B1E3317"/>
    <w:rsid w:val="6DF15E06"/>
    <w:rsid w:val="6F3D6807"/>
    <w:rsid w:val="70446EA0"/>
    <w:rsid w:val="70785D38"/>
    <w:rsid w:val="72080D3D"/>
    <w:rsid w:val="72AA5630"/>
    <w:rsid w:val="72C75C08"/>
    <w:rsid w:val="72CB5DDE"/>
    <w:rsid w:val="7390793D"/>
    <w:rsid w:val="76F57F2D"/>
    <w:rsid w:val="79226841"/>
    <w:rsid w:val="7A3D21EA"/>
    <w:rsid w:val="7A864AF2"/>
    <w:rsid w:val="7DD15C5F"/>
    <w:rsid w:val="7EF40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3950</Words>
  <Characters>4146</Characters>
  <Lines>0</Lines>
  <Paragraphs>0</Paragraphs>
  <TotalTime>1</TotalTime>
  <ScaleCrop>false</ScaleCrop>
  <LinksUpToDate>false</LinksUpToDate>
  <CharactersWithSpaces>4153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2021-07-06T07:07:00Z</dcterms:created>
  <dc:creator>虎霸婆</dc:creator>
  <cp:lastModifiedBy>2323</cp:lastModifiedBy>
  <dcterms:modified xsi:type="dcterms:W3CDTF">2023-07-27T09:27:47Z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878DCD3794EC439FB6CEB0EB6702629A</vt:lpwstr>
  </property>
</Properties>
</file>